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50DC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Александровского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181D95">
        <w:rPr>
          <w:rFonts w:ascii="Times New Roman" w:eastAsia="Times New Roman" w:hAnsi="Times New Roman" w:cs="Times New Roman"/>
          <w:b/>
          <w:bCs/>
          <w:color w:val="000000"/>
          <w:sz w:val="24"/>
        </w:rPr>
        <w:t>Быковского</w:t>
      </w:r>
      <w:r w:rsidR="00F50DC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666D4" w:rsidRPr="001C38EB">
        <w:rPr>
          <w:rFonts w:ascii="Times New Roman" w:eastAsia="Times New Roman" w:hAnsi="Times New Roman" w:cs="Times New Roman"/>
          <w:color w:val="000000"/>
          <w:sz w:val="24"/>
        </w:rPr>
        <w:t>наосновании Протокола совещания Министерства экономического развития Российской Федерации от 29 августа 2023 г. № 32-Д24,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792778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73873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</w:p>
    <w:p w:rsidR="000D123E" w:rsidRDefault="00C738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                                          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Е.В. Тарасов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92750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F50DCA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муниципальногожилищного контроля</w:t>
      </w:r>
    </w:p>
    <w:p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F50DCA">
        <w:rPr>
          <w:rFonts w:ascii="Times New Roman" w:eastAsia="Times New Roman" w:hAnsi="Times New Roman" w:cs="Times New Roman"/>
          <w:b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377D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Быковского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8962F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видаконтроля, описание текущего уровня развития профилактическойдеятельностиконтрольного(надзорного)органа,характеристика</w:t>
      </w:r>
    </w:p>
    <w:p w:rsidR="000D123E" w:rsidRDefault="0092750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F50D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F50D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F50D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F50D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F50D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F50D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2750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proofErr w:type="gramEnd"/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F50DCA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56D7F">
        <w:rPr>
          <w:rFonts w:ascii="Times New Roman" w:eastAsia="Times New Roman" w:hAnsi="Times New Roman" w:cs="Times New Roman"/>
          <w:color w:val="000000"/>
          <w:sz w:val="24"/>
        </w:rPr>
        <w:t xml:space="preserve">(далее – администрация)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</w:t>
      </w:r>
      <w:r w:rsidR="0082686F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</w:t>
      </w:r>
      <w:r w:rsidR="006D438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C73873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>09.11.2022</w:t>
      </w:r>
      <w:r w:rsidRPr="00C73873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C73873">
        <w:rPr>
          <w:rFonts w:ascii="Times New Roman" w:eastAsia="Times New Roman" w:hAnsi="Times New Roman" w:cs="Times New Roman"/>
          <w:color w:val="000000"/>
          <w:sz w:val="24"/>
        </w:rPr>
        <w:t>92</w:t>
      </w:r>
      <w:r w:rsidRPr="00C7387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377D82" w:rsidRDefault="00377D82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E20EA6">
        <w:rPr>
          <w:rFonts w:ascii="Times New Roman" w:eastAsia="Times New Roman" w:hAnsi="Times New Roman" w:cs="Times New Roman"/>
          <w:color w:val="000000"/>
          <w:sz w:val="24"/>
        </w:rPr>
        <w:t>размещение на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предметов муниципального контроля, а также текстов соответствующих нормативных правовых актов</w:t>
      </w:r>
    </w:p>
    <w:p w:rsidR="0082686F" w:rsidRPr="0082686F" w:rsidRDefault="00377D82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E20EA6">
        <w:rPr>
          <w:rFonts w:ascii="Times New Roman" w:eastAsia="Times New Roman" w:hAnsi="Times New Roman" w:cs="Times New Roman"/>
          <w:color w:val="000000"/>
          <w:sz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требований.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E20EA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lastRenderedPageBreak/>
        <w:t>возникновению причинения вреда (ущерба) или угрозе причинения вреда (ущерба) охраняемым законом ценностям.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9D0D81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6D438D" w:rsidRDefault="00D052C7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proofErr w:type="gramStart"/>
      <w:r w:rsidRPr="001C38EB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насайте</w:t>
      </w:r>
      <w:proofErr w:type="gramEnd"/>
      <w:r w:rsidRPr="001C38EB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D052C7" w:rsidRDefault="00D052C7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4143"/>
        <w:gridCol w:w="2126"/>
        <w:gridCol w:w="2659"/>
      </w:tblGrid>
      <w:tr w:rsidR="000D123E" w:rsidTr="00AA276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AA276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6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</w:t>
            </w:r>
            <w:r w:rsidR="00927500">
              <w:rPr>
                <w:rFonts w:ascii="Times New Roman" w:eastAsia="Times New Roman" w:hAnsi="Times New Roman" w:cs="Times New Roman"/>
                <w:sz w:val="20"/>
              </w:rPr>
              <w:t xml:space="preserve">осуществляет информирование контролируемых и иных заинтересованных лиц по вопросам </w:t>
            </w:r>
            <w:r w:rsidR="00927500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соблюдения обязательных требований посредством размещения сведений, определенных частью 3 статьи 46 Федерального закона </w:t>
            </w:r>
            <w:r w:rsidR="00927500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="00927500"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 w:rsidR="00927500"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 w:rsidR="00927500"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рамках настоящего профилактического мероприятия, </w:t>
            </w:r>
            <w:r w:rsidR="00C84D3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осуществляет: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</w:t>
            </w:r>
            <w:r w:rsidR="00B40B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действий (бездействия)его должностных лиц;</w:t>
            </w:r>
          </w:p>
          <w:p w:rsidR="000D123E" w:rsidRDefault="00927500" w:rsidP="004A68C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сведений, которые могут запрашиваться </w:t>
            </w:r>
            <w:r w:rsidR="004A68C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 контролируемого лица по каждому осуществляемому виду контроля (надзора).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A276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</w:tr>
      <w:tr w:rsidR="000D123E" w:rsidTr="00AA2769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27500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27500" w:rsidP="001504E7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</w:t>
            </w:r>
            <w:r w:rsidR="001504E7">
              <w:rPr>
                <w:rFonts w:ascii="Times New Roman" w:eastAsia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A276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</w:tr>
      <w:tr w:rsidR="000D123E" w:rsidTr="00AA2769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2750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A276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Техник по имуществу и землепользованию администрации </w:t>
            </w:r>
            <w:r w:rsidR="00F50DC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D123E" w:rsidTr="00AA276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</w:t>
            </w:r>
            <w:r w:rsidR="00AD33C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0D123E" w:rsidRDefault="0092750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A276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 по имуществу и землепользованию администрации </w:t>
            </w:r>
            <w:r w:rsidR="00F50DC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0D123E" w:rsidTr="00AA276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275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Профилактический визит проводится </w:t>
            </w:r>
            <w:r w:rsidR="00B73F0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27500" w:rsidP="00BE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BE74B4" w:rsidRPr="00811755" w:rsidRDefault="00BE74B4" w:rsidP="009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76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обратиться в </w:t>
            </w:r>
            <w:r w:rsidR="00B73F03" w:rsidRPr="00AA276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Pr="00AA2769">
              <w:rPr>
                <w:rFonts w:ascii="Times New Roman" w:hAnsi="Times New Roman" w:cs="Times New Roman"/>
                <w:sz w:val="20"/>
                <w:szCs w:val="20"/>
              </w:rPr>
              <w:t xml:space="preserve">с заявлением о проведении в отношении </w:t>
            </w:r>
            <w:r w:rsidR="00B73F03" w:rsidRPr="00AA27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769">
              <w:rPr>
                <w:rFonts w:ascii="Times New Roman" w:hAnsi="Times New Roman" w:cs="Times New Roman"/>
                <w:sz w:val="20"/>
                <w:szCs w:val="20"/>
              </w:rPr>
              <w:t>его профилактического визита</w:t>
            </w:r>
            <w:r w:rsidR="00E06C65" w:rsidRPr="00AA27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AA2769" w:rsidRDefault="00AA27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Один раз в год.</w:t>
            </w:r>
          </w:p>
          <w:p w:rsidR="000D123E" w:rsidRPr="00AA2769" w:rsidRDefault="007709A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A2769">
              <w:rPr>
                <w:rFonts w:ascii="Times New Roman" w:hAnsi="Times New Roman" w:cs="Times New Roman"/>
              </w:rPr>
              <w:t>-</w:t>
            </w:r>
            <w:r w:rsidRPr="00AA2769">
              <w:rPr>
                <w:rFonts w:ascii="Times New Roman" w:hAnsi="Times New Roman" w:cs="Times New Roman"/>
                <w:sz w:val="20"/>
                <w:szCs w:val="20"/>
              </w:rPr>
              <w:t>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A276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 по имуществу и землепользованию администрации </w:t>
            </w:r>
            <w:r w:rsidR="00F50DC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AA2769" w:rsidRPr="00AA2769" w:rsidRDefault="00AA2769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275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879"/>
        <w:gridCol w:w="5828"/>
        <w:gridCol w:w="2551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частью 3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2750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(надзоре)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представителям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2750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(надзорным)</w:t>
            </w:r>
            <w:r w:rsidR="00F50DC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07CDD" w:rsidRDefault="00707C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Pr="00AA2769" w:rsidRDefault="003F2BED" w:rsidP="003F2BED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A276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ПРИЛОЖЕНИЕ </w:t>
      </w:r>
    </w:p>
    <w:p w:rsidR="003F2BED" w:rsidRPr="00AA2769" w:rsidRDefault="003F2BED" w:rsidP="003F2BED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A2769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3F2BED" w:rsidRPr="00AA2769" w:rsidRDefault="003F2BED" w:rsidP="003F2BED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2BED" w:rsidRPr="00AA2769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Pr="00AA2769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3F2BED" w:rsidRPr="00AA2769" w:rsidTr="00503ABB">
        <w:trPr>
          <w:trHeight w:val="1244"/>
        </w:trPr>
        <w:tc>
          <w:tcPr>
            <w:tcW w:w="426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27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27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AA27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AA27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3F2BED" w:rsidRPr="00AA2769" w:rsidRDefault="003F2BED" w:rsidP="003F2BE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27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27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27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3F2BED" w:rsidRPr="00AA2769" w:rsidTr="00503ABB">
        <w:trPr>
          <w:trHeight w:val="419"/>
        </w:trPr>
        <w:tc>
          <w:tcPr>
            <w:tcW w:w="426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AA2769" w:rsidTr="00503ABB">
        <w:trPr>
          <w:trHeight w:val="529"/>
        </w:trPr>
        <w:tc>
          <w:tcPr>
            <w:tcW w:w="426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AA2769" w:rsidTr="00503ABB">
        <w:trPr>
          <w:trHeight w:val="529"/>
        </w:trPr>
        <w:tc>
          <w:tcPr>
            <w:tcW w:w="426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AA2769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BED" w:rsidRPr="003F2BED" w:rsidTr="00503ABB">
        <w:trPr>
          <w:trHeight w:val="529"/>
        </w:trPr>
        <w:tc>
          <w:tcPr>
            <w:tcW w:w="426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3F2BED" w:rsidRPr="003F2BED" w:rsidRDefault="003F2BED" w:rsidP="003F2B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2BED" w:rsidRPr="003F2BED" w:rsidRDefault="003F2BED" w:rsidP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2BED" w:rsidRDefault="003F2B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0F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153F0"/>
    <w:rsid w:val="000213ED"/>
    <w:rsid w:val="00022818"/>
    <w:rsid w:val="00054435"/>
    <w:rsid w:val="000666D4"/>
    <w:rsid w:val="00067ADC"/>
    <w:rsid w:val="000A5FFB"/>
    <w:rsid w:val="000D123E"/>
    <w:rsid w:val="000F7269"/>
    <w:rsid w:val="001504E7"/>
    <w:rsid w:val="001542B9"/>
    <w:rsid w:val="00181D95"/>
    <w:rsid w:val="00184AFB"/>
    <w:rsid w:val="00191534"/>
    <w:rsid w:val="001A77E5"/>
    <w:rsid w:val="001B6B47"/>
    <w:rsid w:val="001C38EB"/>
    <w:rsid w:val="001D67C6"/>
    <w:rsid w:val="001E0313"/>
    <w:rsid w:val="001F58E6"/>
    <w:rsid w:val="0028531E"/>
    <w:rsid w:val="002A2BBC"/>
    <w:rsid w:val="002B3A9B"/>
    <w:rsid w:val="002C33ED"/>
    <w:rsid w:val="003243D1"/>
    <w:rsid w:val="003251DC"/>
    <w:rsid w:val="003424FA"/>
    <w:rsid w:val="00356D7F"/>
    <w:rsid w:val="0036460F"/>
    <w:rsid w:val="0037077E"/>
    <w:rsid w:val="00377C8B"/>
    <w:rsid w:val="00377D82"/>
    <w:rsid w:val="003C5E17"/>
    <w:rsid w:val="003E40A4"/>
    <w:rsid w:val="003F2BED"/>
    <w:rsid w:val="004908EE"/>
    <w:rsid w:val="004A68C6"/>
    <w:rsid w:val="004A7CFA"/>
    <w:rsid w:val="004B2E2C"/>
    <w:rsid w:val="0051273A"/>
    <w:rsid w:val="0056633F"/>
    <w:rsid w:val="00587586"/>
    <w:rsid w:val="00592F86"/>
    <w:rsid w:val="005C2D7B"/>
    <w:rsid w:val="005D1E3A"/>
    <w:rsid w:val="006617E9"/>
    <w:rsid w:val="0067543E"/>
    <w:rsid w:val="00686946"/>
    <w:rsid w:val="006C632B"/>
    <w:rsid w:val="006D438D"/>
    <w:rsid w:val="00707CDD"/>
    <w:rsid w:val="007328C6"/>
    <w:rsid w:val="00747876"/>
    <w:rsid w:val="00765F6D"/>
    <w:rsid w:val="00766AC6"/>
    <w:rsid w:val="007709A4"/>
    <w:rsid w:val="00792778"/>
    <w:rsid w:val="007A7AC3"/>
    <w:rsid w:val="007D14A8"/>
    <w:rsid w:val="00810009"/>
    <w:rsid w:val="00811755"/>
    <w:rsid w:val="0082686F"/>
    <w:rsid w:val="0085320C"/>
    <w:rsid w:val="00886BF1"/>
    <w:rsid w:val="008962FE"/>
    <w:rsid w:val="008A6ADC"/>
    <w:rsid w:val="008D4CE2"/>
    <w:rsid w:val="009256BA"/>
    <w:rsid w:val="00927500"/>
    <w:rsid w:val="009279F5"/>
    <w:rsid w:val="009B5039"/>
    <w:rsid w:val="009D0D81"/>
    <w:rsid w:val="009D59F5"/>
    <w:rsid w:val="00A70F2A"/>
    <w:rsid w:val="00AA2769"/>
    <w:rsid w:val="00AC6BEA"/>
    <w:rsid w:val="00AD33C4"/>
    <w:rsid w:val="00B4083E"/>
    <w:rsid w:val="00B40BD6"/>
    <w:rsid w:val="00B444C2"/>
    <w:rsid w:val="00B65243"/>
    <w:rsid w:val="00B73F03"/>
    <w:rsid w:val="00BA40A1"/>
    <w:rsid w:val="00BA61C9"/>
    <w:rsid w:val="00BC6A99"/>
    <w:rsid w:val="00BE74B4"/>
    <w:rsid w:val="00C22AAD"/>
    <w:rsid w:val="00C73873"/>
    <w:rsid w:val="00C84D36"/>
    <w:rsid w:val="00CC7968"/>
    <w:rsid w:val="00CE361A"/>
    <w:rsid w:val="00D052C7"/>
    <w:rsid w:val="00D23AA0"/>
    <w:rsid w:val="00D24625"/>
    <w:rsid w:val="00D50370"/>
    <w:rsid w:val="00D97D62"/>
    <w:rsid w:val="00DC6798"/>
    <w:rsid w:val="00E06C65"/>
    <w:rsid w:val="00E2047A"/>
    <w:rsid w:val="00E20EA6"/>
    <w:rsid w:val="00E308F1"/>
    <w:rsid w:val="00E53DF8"/>
    <w:rsid w:val="00E6341E"/>
    <w:rsid w:val="00E92A26"/>
    <w:rsid w:val="00EF2FE7"/>
    <w:rsid w:val="00F50DCA"/>
    <w:rsid w:val="00FA7AC3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AD23-4D56-4435-B4DA-C8773D3C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scandata</dc:creator>
  <cp:lastModifiedBy>User</cp:lastModifiedBy>
  <cp:revision>3</cp:revision>
  <dcterms:created xsi:type="dcterms:W3CDTF">2023-11-07T11:26:00Z</dcterms:created>
  <dcterms:modified xsi:type="dcterms:W3CDTF">2023-11-15T11:43:00Z</dcterms:modified>
</cp:coreProperties>
</file>